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F172A"/>
          <w:sz w:val="40"/>
          <w:szCs w:val="40"/>
        </w:rPr>
        <w:t xml:space="preserve">PATCH-MANAGEMENT-RICHTLINIE</w:t>
      </w:r>
    </w:p>
    <w:p>
      <w:pPr>
        <w:spacing w:after="200"/>
      </w:pPr>
      <w:r>
        <w:rPr>
          <w:color w:val="6B7280"/>
          <w:sz w:val="22"/>
          <w:szCs w:val="22"/>
        </w:rPr>
        <w:t xml:space="preserve">Muster nach ISO/IEC 27001 und NIS2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Bereitgestellt von CompliantDesk (Corelead GmbH).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Hinweis: Muster zur Orientierung, keine Rechtsberatung. Passen Sie die </w:t>
      </w:r>
      <w:r>
        <w:rPr>
          <w:b/>
          <w:bCs/>
          <w:i/>
          <w:iCs/>
          <w:color w:val="1D4ED8"/>
          <w:sz w:val="19"/>
          <w:szCs w:val="19"/>
        </w:rPr>
        <w:t xml:space="preserve">[Platzhalter]</w:t>
      </w:r>
      <w:r>
        <w:rPr>
          <w:i/>
          <w:iCs/>
          <w:color w:val="6B7280"/>
          <w:sz w:val="19"/>
          <w:szCs w:val="19"/>
        </w:rPr>
        <w:t xml:space="preserve"> und Inhalte an Ihre Organisation an. Diese Richtlinie sollte von der Leitung freigegeben und regelmäßig überprüft werden.</w:t>
      </w:r>
    </w:p>
    <w:p>
      <w:pPr>
        <w:spacing w:after="80"/>
      </w:pPr>
      <w:r>
        <w:rPr>
          <w:i/>
          <w:iCs/>
          <w:color w:val="6B7280"/>
          <w:sz w:val="19"/>
          <w:szCs w:val="19"/>
        </w:rPr>
        <w:t xml:space="preserve">Nächste Überprüfung: </w:t>
      </w:r>
      <w:r>
        <w:rPr>
          <w:b/>
          <w:bCs/>
          <w:i/>
          <w:iCs/>
          <w:color w:val="1D4ED8"/>
          <w:sz w:val="19"/>
          <w:szCs w:val="19"/>
        </w:rPr>
        <w:t xml:space="preserve">[Datum, mind. jährlich]</w:t>
      </w:r>
    </w:p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Framework-Bezug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ISO/IEC 27001:2022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A.8.8 (Handhabung technischer Schwachstellen),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A.8.19 (Software auf Produktivsystemen),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A.8.32 (Änderungsmanagement)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NIS2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21 Abs. 2 lit. e (Sicherheit bei Beschaffung,</w:t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Entwicklung und Wartung)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4%"/>
            <w:shd w:fill="F1F5F9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DSGVO</w:t>
            </w:r>
          </w:p>
        </w:tc>
        <w:tc>
          <w:tcPr>
            <w:tcW w:type="pct" w:w="66%"/>
          </w:tcPr>
          <w:p>
            <w:r>
              <w:rPr>
                <w:sz w:val="19"/>
                <w:szCs w:val="19"/>
              </w:rPr>
              <w:t xml:space="preserve">Art. 32 (Sicherheit der Verarbeitung)</w:t>
            </w:r>
          </w:p>
        </w:tc>
      </w:tr>
    </w:tbl>
    <w:p>
      <w:pPr>
        <w:spacing w:after="80" w:before="200"/>
      </w:pPr>
      <w:r>
        <w:rPr>
          <w:b/>
          <w:bCs/>
          <w:color w:val="0F172A"/>
          <w:sz w:val="20"/>
          <w:szCs w:val="20"/>
        </w:rPr>
        <w:t xml:space="preserve">Dokument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Organisation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[Name des Unternehmens]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Version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[1.0]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Freigegeben durch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[Geschäftsführung / IT-Leitung, Name]</w:t>
            </w:r>
          </w:p>
        </w:tc>
      </w:tr>
      <w:tr>
        <w:tc>
          <w:tcPr>
            <w:tcW w:type="pct" w:w="34%"/>
            <w:shd w:fill="F8FAFC" w:color="auto" w:val="clear"/>
          </w:tcPr>
          <w:p>
            <w:r>
              <w:rPr>
                <w:b/>
                <w:bCs/>
                <w:color w:val="0F172A"/>
                <w:sz w:val="19"/>
                <w:szCs w:val="19"/>
              </w:rPr>
              <w:t xml:space="preserve">Freigabedatum</w:t>
            </w:r>
          </w:p>
        </w:tc>
        <w:tc>
          <w:tcPr>
            <w:tcW w:type="pct" w:w="66%"/>
          </w:tcPr>
          <w:p>
            <w:r>
              <w:rPr>
                <w:b/>
                <w:bCs/>
                <w:i/>
                <w:iCs/>
                <w:color w:val="1D4ED8"/>
                <w:sz w:val="19"/>
                <w:szCs w:val="19"/>
              </w:rPr>
              <w:t xml:space="preserve">[Datum]</w:t>
            </w:r>
          </w:p>
        </w:tc>
      </w:tr>
    </w:tbl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1. Zweck und Geltungsbereich</w:t>
      </w:r>
    </w:p>
    <w:p>
      <w:pPr>
        <w:spacing w:after="100"/>
      </w:pPr>
      <w:r>
        <w:rPr>
          <w:sz w:val="21"/>
          <w:szCs w:val="21"/>
        </w:rPr>
        <w:t xml:space="preserve">Diese Richtlinie stellt sicher, dass Sicherheitsupdates für Systeme und Software von </w:t>
      </w:r>
      <w:r>
        <w:rPr>
          <w:b/>
          <w:bCs/>
          <w:i/>
          <w:iCs/>
          <w:color w:val="1D4ED8"/>
          <w:sz w:val="21"/>
          <w:szCs w:val="21"/>
        </w:rPr>
        <w:t xml:space="preserve">[Unternehmen]</w:t>
      </w:r>
      <w:r>
        <w:rPr>
          <w:sz w:val="21"/>
          <w:szCs w:val="21"/>
        </w:rPr>
        <w:t xml:space="preserve"> zeitnah und kontrolliert eingespielt werden. Ungepatchte Systeme sind eines der häufigsten Einfallstore für Angriffe. Sie gilt für alle Server, Endgeräte, Anwendungen und Netzwerkkomponenten.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2. 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  <w:color w:val="1D4ED8"/>
          <w:sz w:val="21"/>
          <w:szCs w:val="21"/>
        </w:rPr>
        <w:t xml:space="preserve">[IT-Leitung / Dienstleister]</w:t>
      </w:r>
      <w:r>
        <w:rPr>
          <w:sz w:val="21"/>
          <w:szCs w:val="21"/>
        </w:rPr>
        <w:t xml:space="preserve"> verantwortet den Patch-Prozess.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Ein aktuelles Asset-Inventar ist Grundlage, damit kein System vergessen wird.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[Rollen ergänzen]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3. Fristen nach Kritikalität</w:t>
      </w:r>
    </w:p>
    <w:p>
      <w:pPr>
        <w:spacing w:after="100"/>
      </w:pPr>
      <w:r>
        <w:rPr>
          <w:sz w:val="21"/>
          <w:szCs w:val="21"/>
        </w:rPr>
        <w:t xml:space="preserve">Sicherheitsupdates werden risikobasiert priorisiert. Empfohlene Zielfristen ab Verfügbarkeit: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Kritisch:  binnen </w:t>
      </w:r>
      <w:r>
        <w:rPr>
          <w:b/>
          <w:bCs/>
          <w:i/>
          <w:iCs/>
          <w:color w:val="1D4ED8"/>
          <w:sz w:val="21"/>
          <w:szCs w:val="21"/>
        </w:rPr>
        <w:t xml:space="preserve">[72 Stunden]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Hoch:      binnen </w:t>
      </w:r>
      <w:r>
        <w:rPr>
          <w:b/>
          <w:bCs/>
          <w:i/>
          <w:iCs/>
          <w:color w:val="1D4ED8"/>
          <w:sz w:val="21"/>
          <w:szCs w:val="21"/>
        </w:rPr>
        <w:t xml:space="preserve">[7 Tagen]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Mittel/Niedrig: im nächsten </w:t>
      </w:r>
      <w:r>
        <w:rPr>
          <w:b/>
          <w:bCs/>
          <w:i/>
          <w:iCs/>
          <w:color w:val="1D4ED8"/>
          <w:sz w:val="21"/>
          <w:szCs w:val="21"/>
        </w:rPr>
        <w:t xml:space="preserve">[regulären Wartungsfenster]</w:t>
      </w:r>
      <w:r>
        <w:rPr>
          <w:sz w:val="21"/>
          <w:szCs w:val="21"/>
        </w:rPr>
        <w:t xml:space="preserve">.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[Fristen an Ihre Umgebung anpassen]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4. Test und Einspielung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Wo möglich, werden Updates vor der Produktivfreigabe getestet.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Änderungen erfolgen kontrolliert (Wartungsfenster, Rückfalloption).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1"/>
          <w:szCs w:val="21"/>
        </w:rPr>
        <w:t xml:space="preserve">Notfall-Patches bei aktiver Ausnutzung können beschleunigt werden.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5. Umgang mit nicht patchbaren Systemen</w:t>
      </w:r>
    </w:p>
    <w:p>
      <w:pPr>
        <w:spacing w:after="100"/>
      </w:pPr>
      <w:r>
        <w:rPr>
          <w:sz w:val="21"/>
          <w:szCs w:val="21"/>
        </w:rPr>
        <w:t xml:space="preserve">Lässt sich ein System nicht (mehr) patchen (z.B. Altsystem), werden kompensierende Maßnahmen festgelegt (Isolierung, Segmentierung, verschärfte Überwachung) und das Restrisiko dokumentiert.</w:t>
      </w:r>
    </w:p>
    <w:p>
      <w:pPr>
        <w:pStyle w:val="Heading2"/>
        <w:spacing w:after="100" w:before="260"/>
      </w:pPr>
      <w:r>
        <w:rPr>
          <w:b/>
          <w:bCs/>
          <w:color w:val="0F172A"/>
          <w:sz w:val="24"/>
          <w:szCs w:val="24"/>
        </w:rPr>
        <w:t xml:space="preserve">6. Dokumentation und Überprüfung</w:t>
      </w:r>
    </w:p>
    <w:p>
      <w:pPr>
        <w:spacing w:after="100"/>
      </w:pPr>
      <w:r>
        <w:rPr>
          <w:sz w:val="21"/>
          <w:szCs w:val="21"/>
        </w:rPr>
        <w:t xml:space="preserve">Eingespielte Updates und offene Schwachstellen werden dokumentiert. Diese Richtlinie wird mindestens jährlich sowie bei wesentlichen Änderungen überprüft.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[Ort, Datum]</w:t>
      </w:r>
    </w:p>
    <w:p>
      <w:pPr>
        <w:spacing w:after="0" w:before="200"/>
      </w:pPr>
      <w:r>
        <w:rPr>
          <w:sz w:val="21"/>
          <w:szCs w:val="21"/>
        </w:rPr>
        <w:t xml:space="preserve">________________________</w:t>
      </w:r>
    </w:p>
    <w:p>
      <w:pPr>
        <w:spacing w:after="100"/>
      </w:pPr>
      <w:r>
        <w:rPr>
          <w:b/>
          <w:bCs/>
          <w:i/>
          <w:iCs/>
          <w:color w:val="1D4ED8"/>
          <w:sz w:val="21"/>
          <w:szCs w:val="21"/>
        </w:rPr>
        <w:t xml:space="preserve">[Geschäftsführung / IT-Leitung]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spacing w:before="60"/>
    </w:pPr>
    <w:r>
      <w:rPr>
        <w:color w:val="6B7280"/>
        <w:sz w:val="15"/>
        <w:szCs w:val="15"/>
      </w:rPr>
      <w:t xml:space="preserve">Gekürzte Muster-Fassung von CompliantDesk (Corelead GmbH). Die Vollversion - mit Versionierung, SHA-256-Nachweis der freigegebenen Fassung und dokumentierter Mitarbeiter-Bestätigung - führen Sie in der CompliantDesk-Plattform: compliantdesk.de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PATCH-MANAGEMENT-RICHTLINIE</dc:title>
  <dc:creator>CompliantDesk (Corelead GmbH)</dc:creator>
  <cp:lastModifiedBy>Un-named</cp:lastModifiedBy>
  <cp:revision>1</cp:revision>
  <dcterms:created xsi:type="dcterms:W3CDTF">2026-07-14T16:54:38.864Z</dcterms:created>
  <dcterms:modified xsi:type="dcterms:W3CDTF">2026-07-14T16:54:38.864Z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