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RICHTLINIE FÜR MOBILE GERÄTE UND BYOD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Diese Richtlinie sollte von der Leitung freigegeben und allen Beschäftigten bekannt gemacht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A.8.1 (Endgeräte der Benutzer), A.6.7 (Mobiles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Arbeiten), A.7.9 (Werte außerhalb der Räume)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i (Asset-Management,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Zugriffskontrolle)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(Sicherheit der Verarbeitung)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ISB,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 Richtlinie regelt den Einsatz mobiler Geräte (Notebooks, Smart- phones, Tablets) bei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, einschließlich privater Geräte (Bring Your Own Device, BYOD). Ziel ist der Schutz von Unternehmensdaten auch außerhalb der Räumlichkeiten.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Zugelassene Geräte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Firmengeräte: durch </w:t>
      </w:r>
      <w:r>
        <w:rPr>
          <w:b/>
          <w:bCs/>
          <w:i/>
          <w:iCs/>
          <w:color w:val="1D4ED8"/>
          <w:sz w:val="21"/>
          <w:szCs w:val="21"/>
        </w:rPr>
        <w:t xml:space="preserve">[IT]</w:t>
      </w:r>
      <w:r>
        <w:rPr>
          <w:sz w:val="21"/>
          <w:szCs w:val="21"/>
        </w:rPr>
        <w:t xml:space="preserve"> bereitgestellt und verwaltet.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Private Geräte (BYOD): nur mit ausdrücklicher Freigabe und nur unter den Bedingungen dieser Richtlinie.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[Regelung firmen-/privateigene Geräte festlegen]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Technische Mindestanforderungen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Geräteverschlüsselung aktiviert.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Bildschirmsperre mit PIN/Biometrie und automatischer Sperre.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Aktuelle Betriebssystem- und App-Updates.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Verwaltung über </w:t>
      </w:r>
      <w:r>
        <w:rPr>
          <w:b/>
          <w:bCs/>
          <w:i/>
          <w:iCs/>
          <w:color w:val="1D4ED8"/>
          <w:sz w:val="21"/>
          <w:szCs w:val="21"/>
        </w:rPr>
        <w:t xml:space="preserve">[Mobile Device Management / MDM]</w:t>
      </w:r>
      <w:r>
        <w:rPr>
          <w:sz w:val="21"/>
          <w:szCs w:val="21"/>
        </w:rPr>
        <w:t xml:space="preserve">, inkl. Möglichkeit zur Fernlöschung von Unternehmensdaten.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[Anforderungen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Trennung privater und geschäftlicher Daten (BYOD)</w:t>
      </w:r>
    </w:p>
    <w:p>
      <w:pPr>
        <w:spacing w:after="100"/>
      </w:pPr>
      <w:r>
        <w:rPr>
          <w:sz w:val="21"/>
          <w:szCs w:val="21"/>
        </w:rPr>
        <w:t xml:space="preserve">Auf privaten Geräten werden Unternehmensdaten technisch getrennt (z.B. Container/Arbeitsprofil). Bei Verlust oder Austritt können die Unternehmensdaten selektiv gelöscht werden, ohne private Daten anzutasten.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Verlust und Diebstahl</w:t>
      </w:r>
    </w:p>
    <w:p>
      <w:pPr>
        <w:spacing w:after="100"/>
      </w:pPr>
      <w:r>
        <w:rPr>
          <w:sz w:val="21"/>
          <w:szCs w:val="21"/>
        </w:rPr>
        <w:t xml:space="preserve">Verlust oder Diebstahl eines Geräts mit Unternehmensdaten wird unverzüglich an </w:t>
      </w:r>
      <w:r>
        <w:rPr>
          <w:b/>
          <w:bCs/>
          <w:i/>
          <w:iCs/>
          <w:color w:val="1D4ED8"/>
          <w:sz w:val="21"/>
          <w:szCs w:val="21"/>
        </w:rPr>
        <w:t xml:space="preserve">[IT / Meldestelle]</w:t>
      </w:r>
      <w:r>
        <w:rPr>
          <w:sz w:val="21"/>
          <w:szCs w:val="21"/>
        </w:rPr>
        <w:t xml:space="preserve"> gemeldet, damit Zugänge gesperrt und das Gerät ferngelöscht werden können.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Pflichten der Nutzer und Überprüfung</w:t>
      </w:r>
    </w:p>
    <w:p>
      <w:pPr>
        <w:spacing w:after="100"/>
      </w:pPr>
      <w:r>
        <w:rPr>
          <w:sz w:val="21"/>
          <w:szCs w:val="21"/>
        </w:rPr>
        <w:t xml:space="preserve">Nutzer verpflichten sich zur Einhaltung dieser Richtlinie (bei BYOD per Einwilligung). Sie wird mindestens jährlich sowie bei wesentlichen Änderungen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ISB]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 FÜR MOBILE GERÄTE UND BYOD</dc:title>
  <dc:creator>CompliantDesk (Corelead GmbH)</dc:creator>
  <cp:lastModifiedBy>Un-named</cp:lastModifiedBy>
  <cp:revision>1</cp:revision>
  <dcterms:created xsi:type="dcterms:W3CDTF">2026-07-14T16:54:38.845Z</dcterms:created>
  <dcterms:modified xsi:type="dcterms:W3CDTF">2026-07-14T16:54:38.845Z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