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RICHTLINIE ZUR MEHR-FAKTOR-AUTHENTIFIZIERUNG (MFA)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A.5.17 (Authentifizierungsinformationen),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A.8.5 (Sichere Authentifizierung)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j (MFA und gesicherte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Kommunikation)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legt fest, wo und wie Mehr-Faktor-Authentifizierung (MFA)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eingesetzt wird. MFA schützt Zugänge auch dann, wenn ein Passwort gestohlen oder erraten wurde. Sie gilt für alle Beschäftigten, Externen und technischen Zugänge.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Geltungsbereich der MFA-Pflicht</w:t>
      </w:r>
    </w:p>
    <w:p>
      <w:pPr>
        <w:spacing w:after="100"/>
      </w:pPr>
      <w:r>
        <w:rPr>
          <w:sz w:val="21"/>
          <w:szCs w:val="21"/>
        </w:rPr>
        <w:t xml:space="preserve">MFA ist verpflichtend für: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Administrator- und privilegierte Konten (ausnahmslos).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Remote-Zugriff und VPN.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E-Mail und Cloud-Dienste (z.B. Microsoft 365, Google Workspace).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Zugriff auf besonders schützenswerte Systeme und Daten.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[Weitere Systeme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Zugelassene Verfahren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Bevorzugt: Authenticator-App (TOTP) oder Hardware-Sicherheitsschlüssel (FIDO2/Passkey).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Zulässig mit Einschränkung: Push-Bestätigung.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Nur als Ausnahme: SMS- oder E-Mail-Codes (anfällig für Umleitung).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[Zugelassene Verfahren an Ihre Umgebung anpassen]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Registrierung und Wiederherstellung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Bei der Ersteinrichtung wird mindestens ein zweiter Faktor hinterlegt.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Wiederherstellungscodes werden sicher aufbewahrt (nicht im Klartext, nicht am Arbeitsplatz).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Verlust eines Faktors wird unverzüglich an </w:t>
      </w:r>
      <w:r>
        <w:rPr>
          <w:b/>
          <w:bCs/>
          <w:i/>
          <w:iCs/>
          <w:color w:val="1D4ED8"/>
          <w:sz w:val="21"/>
          <w:szCs w:val="21"/>
        </w:rPr>
        <w:t xml:space="preserve">[IT / Helpdesk]</w:t>
      </w:r>
      <w:r>
        <w:rPr>
          <w:sz w:val="21"/>
          <w:szCs w:val="21"/>
        </w:rPr>
        <w:t xml:space="preserve"> gemeldet; die Identität wird vor Zurücksetzung sicher geprüft.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Ausnahmen</w:t>
      </w:r>
    </w:p>
    <w:p>
      <w:pPr>
        <w:spacing w:after="100"/>
      </w:pPr>
      <w:r>
        <w:rPr>
          <w:sz w:val="21"/>
          <w:szCs w:val="21"/>
        </w:rPr>
        <w:t xml:space="preserve">Ausnahmen von der MFA-Pflicht sind zu begründen, zu befristen und von </w:t>
      </w:r>
      <w:r>
        <w:rPr>
          <w:b/>
          <w:bCs/>
          <w:i/>
          <w:iCs/>
          <w:color w:val="1D4ED8"/>
          <w:sz w:val="21"/>
          <w:szCs w:val="21"/>
        </w:rPr>
        <w:t xml:space="preserve">[ISB / IT-Leitung]</w:t>
      </w:r>
      <w:r>
        <w:rPr>
          <w:sz w:val="21"/>
          <w:szCs w:val="21"/>
        </w:rPr>
        <w:t xml:space="preserve"> freizugeben. Sie werden dokumentiert und regelmäßig überprüft. </w:t>
      </w:r>
      <w:r>
        <w:rPr>
          <w:b/>
          <w:bCs/>
          <w:i/>
          <w:iCs/>
          <w:color w:val="1D4ED8"/>
          <w:sz w:val="21"/>
          <w:szCs w:val="21"/>
        </w:rPr>
        <w:t xml:space="preserve">[Ausnahmeprozess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Verstöße und Überprüfung</w:t>
      </w:r>
    </w:p>
    <w:p>
      <w:pPr>
        <w:spacing w:after="100"/>
      </w:pPr>
      <w:r>
        <w:rPr>
          <w:sz w:val="21"/>
          <w:szCs w:val="21"/>
        </w:rPr>
        <w:t xml:space="preserve">Das Umgehen der MFA ist untersagt. Diese Richtlinie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 ZUR MEHR-FAKTOR-AUTHENTIFIZIERUNG (MFA)</dc:title>
  <dc:creator>CompliantDesk (Corelead GmbH)</dc:creator>
  <cp:lastModifiedBy>Un-named</cp:lastModifiedBy>
  <cp:revision>1</cp:revision>
  <dcterms:created xsi:type="dcterms:W3CDTF">2026-07-14T16:54:38.838Z</dcterms:created>
  <dcterms:modified xsi:type="dcterms:W3CDTF">2026-07-14T16:54:38.838Z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