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0F172A"/>
          <w:sz w:val="40"/>
          <w:szCs w:val="40"/>
        </w:rPr>
        <w:t xml:space="preserve">INFORMATIONSSICHERHEITSRICHTLINIE (LEITLINIE)</w:t>
      </w:r>
    </w:p>
    <w:p>
      <w:pPr>
        <w:spacing w:after="200"/>
      </w:pPr>
      <w:r>
        <w:rPr>
          <w:color w:val="6B7280"/>
          <w:sz w:val="22"/>
          <w:szCs w:val="22"/>
        </w:rPr>
        <w:t xml:space="preserve">Muster nach ISO/IEC 27001</w:t>
      </w:r>
    </w:p>
    <w:p>
      <w:pPr>
        <w:spacing w:after="80"/>
      </w:pPr>
      <w:r>
        <w:rPr>
          <w:i/>
          <w:iCs/>
          <w:color w:val="6B7280"/>
          <w:sz w:val="19"/>
          <w:szCs w:val="19"/>
        </w:rPr>
        <w:t xml:space="preserve">Bereitgestellt von CompliantDesk (Corelead GmbH).</w:t>
      </w:r>
    </w:p>
    <w:p>
      <w:pPr>
        <w:spacing w:after="80"/>
      </w:pPr>
      <w:r>
        <w:rPr>
          <w:i/>
          <w:iCs/>
          <w:color w:val="6B7280"/>
          <w:sz w:val="19"/>
          <w:szCs w:val="19"/>
        </w:rPr>
        <w:t xml:space="preserve">Hinweis: Muster zur Orientierung, keine Rechtsberatung. Passen Sie die </w:t>
      </w:r>
      <w:r>
        <w:rPr>
          <w:b/>
          <w:bCs/>
          <w:i/>
          <w:iCs/>
          <w:color w:val="1D4ED8"/>
          <w:sz w:val="19"/>
          <w:szCs w:val="19"/>
        </w:rPr>
        <w:t xml:space="preserve">[Platzhalter]</w:t>
      </w:r>
      <w:r>
        <w:rPr>
          <w:i/>
          <w:iCs/>
          <w:color w:val="6B7280"/>
          <w:sz w:val="19"/>
          <w:szCs w:val="19"/>
        </w:rPr>
        <w:t xml:space="preserve"> und Inhalte an Ihre Organisation an. Die Leitlinie muss von der obersten Leitung freigegeben und allen Beschäftigten bekannt gemacht werden.</w:t>
      </w:r>
    </w:p>
    <w:p>
      <w:pPr>
        <w:spacing w:after="80"/>
      </w:pPr>
      <w:r>
        <w:rPr>
          <w:i/>
          <w:iCs/>
          <w:color w:val="6B7280"/>
          <w:sz w:val="19"/>
          <w:szCs w:val="19"/>
        </w:rPr>
        <w:t xml:space="preserve">Nächste Überprüfung: </w:t>
      </w:r>
      <w:r>
        <w:rPr>
          <w:b/>
          <w:bCs/>
          <w:i/>
          <w:iCs/>
          <w:color w:val="1D4ED8"/>
          <w:sz w:val="19"/>
          <w:szCs w:val="19"/>
        </w:rPr>
        <w:t xml:space="preserve">[Datum, mind. jährlich]</w:t>
      </w:r>
    </w:p>
    <w:p>
      <w:pPr>
        <w:spacing w:after="80" w:before="200"/>
      </w:pPr>
      <w:r>
        <w:rPr>
          <w:b/>
          <w:bCs/>
          <w:color w:val="0F172A"/>
          <w:sz w:val="20"/>
          <w:szCs w:val="20"/>
        </w:rPr>
        <w:t xml:space="preserve">Framework-Bezug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4%"/>
            <w:shd w:fill="F1F5F9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ISO/IEC 27001:2022</w:t>
            </w:r>
          </w:p>
        </w:tc>
        <w:tc>
          <w:tcPr>
            <w:tcW w:type="pct" w:w="66%"/>
          </w:tcPr>
          <w:p>
            <w:r>
              <w:rPr>
                <w:sz w:val="19"/>
                <w:szCs w:val="19"/>
              </w:rPr>
              <w:t xml:space="preserve">Clause 5.2 (Politik), A.5.1 (Richtlinien)</w:t>
            </w:r>
          </w:p>
        </w:tc>
      </w:tr>
      <w:tr>
        <w:tc>
          <w:tcPr>
            <w:tcW w:type="pct" w:w="34%"/>
            <w:shd w:fill="F1F5F9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NIS2</w:t>
            </w:r>
          </w:p>
        </w:tc>
        <w:tc>
          <w:tcPr>
            <w:tcW w:type="pct" w:w="66%"/>
          </w:tcPr>
          <w:p>
            <w:r>
              <w:rPr>
                <w:sz w:val="19"/>
                <w:szCs w:val="19"/>
              </w:rPr>
              <w:t xml:space="preserve">Art. 21 Abs. 2 (Risikomanagement, Verantwortung der Leitung)</w:t>
            </w:r>
          </w:p>
        </w:tc>
      </w:tr>
    </w:tbl>
    <w:p>
      <w:pPr>
        <w:spacing w:after="80" w:before="200"/>
      </w:pPr>
      <w:r>
        <w:rPr>
          <w:b/>
          <w:bCs/>
          <w:color w:val="0F172A"/>
          <w:sz w:val="20"/>
          <w:szCs w:val="20"/>
        </w:rPr>
        <w:t xml:space="preserve">Dokument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4%"/>
            <w:shd w:fill="F8FAFC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Organisation</w:t>
            </w:r>
          </w:p>
        </w:tc>
        <w:tc>
          <w:tcPr>
            <w:tcW w:type="pct" w:w="66%"/>
          </w:tcPr>
          <w:p>
            <w:r>
              <w:rPr>
                <w:b/>
                <w:bCs/>
                <w:i/>
                <w:iCs/>
                <w:color w:val="1D4ED8"/>
                <w:sz w:val="19"/>
                <w:szCs w:val="19"/>
              </w:rPr>
              <w:t xml:space="preserve">[Name des Unternehmens]</w:t>
            </w:r>
          </w:p>
        </w:tc>
      </w:tr>
      <w:tr>
        <w:tc>
          <w:tcPr>
            <w:tcW w:type="pct" w:w="34%"/>
            <w:shd w:fill="F8FAFC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Version</w:t>
            </w:r>
          </w:p>
        </w:tc>
        <w:tc>
          <w:tcPr>
            <w:tcW w:type="pct" w:w="66%"/>
          </w:tcPr>
          <w:p>
            <w:r>
              <w:rPr>
                <w:b/>
                <w:bCs/>
                <w:i/>
                <w:iCs/>
                <w:color w:val="1D4ED8"/>
                <w:sz w:val="19"/>
                <w:szCs w:val="19"/>
              </w:rPr>
              <w:t xml:space="preserve">[1.0]</w:t>
            </w:r>
          </w:p>
        </w:tc>
      </w:tr>
      <w:tr>
        <w:tc>
          <w:tcPr>
            <w:tcW w:type="pct" w:w="34%"/>
            <w:shd w:fill="F8FAFC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Freigegeben durch</w:t>
            </w:r>
          </w:p>
        </w:tc>
        <w:tc>
          <w:tcPr>
            <w:tcW w:type="pct" w:w="66%"/>
          </w:tcPr>
          <w:p>
            <w:r>
              <w:rPr>
                <w:b/>
                <w:bCs/>
                <w:i/>
                <w:iCs/>
                <w:color w:val="1D4ED8"/>
                <w:sz w:val="19"/>
                <w:szCs w:val="19"/>
              </w:rPr>
              <w:t xml:space="preserve">[Geschäftsführung, Name]</w:t>
            </w:r>
          </w:p>
        </w:tc>
      </w:tr>
      <w:tr>
        <w:tc>
          <w:tcPr>
            <w:tcW w:type="pct" w:w="34%"/>
            <w:shd w:fill="F8FAFC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Freigabedatum</w:t>
            </w:r>
          </w:p>
        </w:tc>
        <w:tc>
          <w:tcPr>
            <w:tcW w:type="pct" w:w="66%"/>
          </w:tcPr>
          <w:p>
            <w:r>
              <w:rPr>
                <w:b/>
                <w:bCs/>
                <w:i/>
                <w:iCs/>
                <w:color w:val="1D4ED8"/>
                <w:sz w:val="19"/>
                <w:szCs w:val="19"/>
              </w:rPr>
              <w:t xml:space="preserve">[Datum]</w:t>
            </w:r>
          </w:p>
        </w:tc>
      </w:tr>
    </w:tbl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1. Zweck und Zielsetzung</w:t>
      </w:r>
    </w:p>
    <w:p>
      <w:pPr>
        <w:spacing w:after="100"/>
      </w:pPr>
      <w:r>
        <w:rPr>
          <w:sz w:val="21"/>
          <w:szCs w:val="21"/>
        </w:rPr>
        <w:t xml:space="preserve">Diese Leitlinie legt die grundsätzliche Haltung von </w:t>
      </w:r>
      <w:r>
        <w:rPr>
          <w:b/>
          <w:bCs/>
          <w:i/>
          <w:iCs/>
          <w:color w:val="1D4ED8"/>
          <w:sz w:val="21"/>
          <w:szCs w:val="21"/>
        </w:rPr>
        <w:t xml:space="preserve">[Unternehmen]</w:t>
      </w:r>
      <w:r>
        <w:rPr>
          <w:sz w:val="21"/>
          <w:szCs w:val="21"/>
        </w:rPr>
        <w:t xml:space="preserve"> zur Informationssicherheit fest. Ziel ist der Schutz der Vertraulichkeit, Integrität und Verfügbarkeit von Informationen und der unterstützenden Systeme, angemessen zu den Risiken der Organisation.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2. Geltungsbereich</w:t>
      </w:r>
    </w:p>
    <w:p>
      <w:pPr>
        <w:spacing w:after="100"/>
      </w:pPr>
      <w:r>
        <w:rPr>
          <w:sz w:val="21"/>
          <w:szCs w:val="21"/>
        </w:rPr>
        <w:t xml:space="preserve">Diese Leitlinie gilt für alle Beschäftigten, alle Standorte, Systeme und Informationen von </w:t>
      </w:r>
      <w:r>
        <w:rPr>
          <w:b/>
          <w:bCs/>
          <w:i/>
          <w:iCs/>
          <w:color w:val="1D4ED8"/>
          <w:sz w:val="21"/>
          <w:szCs w:val="21"/>
        </w:rPr>
        <w:t xml:space="preserve">[Unternehmen]</w:t>
      </w:r>
      <w:r>
        <w:rPr>
          <w:sz w:val="21"/>
          <w:szCs w:val="21"/>
        </w:rPr>
        <w:t xml:space="preserve"> sowie sinngemäß für Dienstleister und Externe mit Zugriff auf Informationen der Organisation.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3. Verantwortung der Leitung</w:t>
      </w:r>
    </w:p>
    <w:p>
      <w:pPr>
        <w:spacing w:after="100"/>
      </w:pPr>
      <w:r>
        <w:rPr>
          <w:sz w:val="21"/>
          <w:szCs w:val="21"/>
        </w:rPr>
        <w:t xml:space="preserve">Die Geschäftsführung bekennt sich zur Informationssicherheit, stellt die erforderlichen Ressourcen bereit und fordert die Einhaltung dieser Leitlinie von allen Beschäftigten ein. Die Leitung überprüft das Informationssicherheits-Managementsystem (ISMS) regelmäßig.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4. Sicherheitsziele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Schutz personenbezogener und geschäftskritischer Daten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Einhaltung gesetzlicher und vertraglicher Anforderungen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Aufrechterhaltung des Geschäftsbetriebs (Business Continuity)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Sensibilisierung und Befähigung der Beschäftigten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Kontinuierliche Verbesserung des Sicherheitsniveaus</w:t>
      </w:r>
    </w:p>
    <w:p>
      <w:pPr>
        <w:spacing w:after="100"/>
      </w:pPr>
      <w:r>
        <w:rPr>
          <w:b/>
          <w:bCs/>
          <w:i/>
          <w:iCs/>
          <w:color w:val="1D4ED8"/>
          <w:sz w:val="21"/>
          <w:szCs w:val="21"/>
        </w:rPr>
        <w:t xml:space="preserve">[Eigene Ziele ergänzen]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5. Rollen und Verantwortlichkeiten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Informationssicherheitsbeauftragte/r (ISB): </w:t>
      </w:r>
      <w:r>
        <w:rPr>
          <w:b/>
          <w:bCs/>
          <w:i/>
          <w:iCs/>
          <w:color w:val="1D4ED8"/>
          <w:sz w:val="21"/>
          <w:szCs w:val="21"/>
        </w:rPr>
        <w:t xml:space="preserve">[Name]</w:t>
      </w:r>
      <w:r>
        <w:rPr>
          <w:sz w:val="21"/>
          <w:szCs w:val="21"/>
        </w:rPr>
        <w:t xml:space="preserve"> - koordiniert das ISMS, berät die Leitung und überwacht die Umsetzung.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Führungskräfte: setzen die Vorgaben im Verantwortungsbereich um.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Beschäftigte: halten Richtlinien ein und melden Sicherheitsereignisse.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6. Grundsätze der Informationssicherheit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Risikobasiertes Vorgehen: Maßnahmen orientieren sich an bewerteten Risiken.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Need-to-know und minimale Rechte (Least Privilege).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Sicherheit über den gesamten Lebenszyklus von Informationen.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Meldung und Behandlung von Sicherheitsvorfällen.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Einhaltung anerkannter Standards (z.B. ISO/IEC 27001).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7. Themenspezifische Richtlinien</w:t>
      </w:r>
    </w:p>
    <w:p>
      <w:pPr>
        <w:spacing w:after="100"/>
      </w:pPr>
      <w:r>
        <w:rPr>
          <w:sz w:val="21"/>
          <w:szCs w:val="21"/>
        </w:rPr>
        <w:t xml:space="preserve">Diese Leitlinie wird durch themenspezifische Richtlinien konkretisiert, u.a. zu Zugriffskontrolle, akzeptabler Nutzung, mobilem Arbeiten, Kryptografie, Lieferanten und Vorfallbehandlung. </w:t>
      </w:r>
      <w:r>
        <w:rPr>
          <w:b/>
          <w:bCs/>
          <w:i/>
          <w:iCs/>
          <w:color w:val="1D4ED8"/>
          <w:sz w:val="21"/>
          <w:szCs w:val="21"/>
        </w:rPr>
        <w:t xml:space="preserve">[Liste der geltenden Richtlinien ergänzen]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8. Verstöße und Sanktionen</w:t>
      </w:r>
    </w:p>
    <w:p>
      <w:pPr>
        <w:spacing w:after="100"/>
      </w:pPr>
      <w:r>
        <w:rPr>
          <w:sz w:val="21"/>
          <w:szCs w:val="21"/>
        </w:rPr>
        <w:t xml:space="preserve">Verstöße gegen diese Leitlinie können disziplinarische und arbeits- rechtliche Konsequenzen nach sich ziehen. Das Verfahren ist im Disziplinarprozess geregelt.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9. Inkrafttreten und Überprüfung</w:t>
      </w:r>
    </w:p>
    <w:p>
      <w:pPr>
        <w:spacing w:after="100"/>
      </w:pPr>
      <w:r>
        <w:rPr>
          <w:sz w:val="21"/>
          <w:szCs w:val="21"/>
        </w:rPr>
        <w:t xml:space="preserve">Diese Leitlinie tritt mit Freigabe durch die Geschäftsführung in Kraft und wird mindestens jährlich sowie bei wesentlichen Änderungen überprüft und aktualisiert.</w:t>
      </w:r>
    </w:p>
    <w:p>
      <w:pPr>
        <w:spacing w:after="0" w:before="200"/>
      </w:pPr>
      <w:r>
        <w:rPr>
          <w:sz w:val="21"/>
          <w:szCs w:val="21"/>
        </w:rPr>
        <w:t xml:space="preserve">________________________</w:t>
      </w:r>
    </w:p>
    <w:p>
      <w:pPr>
        <w:spacing w:after="100"/>
      </w:pPr>
      <w:r>
        <w:rPr>
          <w:b/>
          <w:bCs/>
          <w:i/>
          <w:iCs/>
          <w:color w:val="1D4ED8"/>
          <w:sz w:val="21"/>
          <w:szCs w:val="21"/>
        </w:rPr>
        <w:t xml:space="preserve">[Ort, Datum]</w:t>
      </w:r>
    </w:p>
    <w:p>
      <w:pPr>
        <w:spacing w:after="0" w:before="200"/>
      </w:pPr>
      <w:r>
        <w:rPr>
          <w:sz w:val="21"/>
          <w:szCs w:val="21"/>
        </w:rPr>
        <w:t xml:space="preserve">________________________</w:t>
      </w:r>
    </w:p>
    <w:p>
      <w:pPr>
        <w:spacing w:after="100"/>
      </w:pPr>
      <w:r>
        <w:rPr>
          <w:b/>
          <w:bCs/>
          <w:i/>
          <w:iCs/>
          <w:color w:val="1D4ED8"/>
          <w:sz w:val="21"/>
          <w:szCs w:val="21"/>
        </w:rPr>
        <w:t xml:space="preserve">[Geschäftsführung]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6"/>
      </w:pBdr>
      <w:spacing w:before="60"/>
    </w:pPr>
    <w:r>
      <w:rPr>
        <w:color w:val="6B7280"/>
        <w:sz w:val="15"/>
        <w:szCs w:val="15"/>
      </w:rPr>
      <w:t xml:space="preserve">Gekürzte Muster-Fassung von CompliantDesk (Corelead GmbH). Die Vollversion - mit Versionierung, SHA-256-Nachweis der freigegebenen Fassung und dokumentierter Mitarbeiter-Bestätigung - führen Sie in der CompliantDesk-Plattform: compliantdesk.de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INFORMATIONSSICHERHEITSRICHTLINIE (LEITLINIE)</dc:title>
  <dc:creator>CompliantDesk (Corelead GmbH)</dc:creator>
  <cp:lastModifiedBy>Un-named</cp:lastModifiedBy>
  <cp:revision>1</cp:revision>
  <dcterms:created xsi:type="dcterms:W3CDTF">2026-07-14T16:54:38.814Z</dcterms:created>
  <dcterms:modified xsi:type="dcterms:W3CDTF">2026-07-14T16:54:38.814Z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