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0F172A"/>
          <w:sz w:val="40"/>
          <w:szCs w:val="40"/>
        </w:rPr>
        <w:t xml:space="preserve">INCIDENT-RESPONSE-PLAN (PLAN ZUR VORFALLBEHANDLUNG)</w:t>
      </w:r>
    </w:p>
    <w:p>
      <w:pPr>
        <w:spacing w:after="200"/>
      </w:pPr>
      <w:r>
        <w:rPr>
          <w:color w:val="6B7280"/>
          <w:sz w:val="22"/>
          <w:szCs w:val="22"/>
        </w:rPr>
        <w:t xml:space="preserve">Muster nach ISO/IEC 27001 und NIS2</w:t>
      </w:r>
    </w:p>
    <w:p>
      <w:pPr>
        <w:spacing w:after="80"/>
      </w:pPr>
      <w:r>
        <w:rPr>
          <w:i/>
          <w:iCs/>
          <w:color w:val="6B7280"/>
          <w:sz w:val="19"/>
          <w:szCs w:val="19"/>
        </w:rPr>
        <w:t xml:space="preserve">Bereitgestellt von CompliantDesk (Corelead GmbH).</w:t>
      </w:r>
    </w:p>
    <w:p>
      <w:pPr>
        <w:spacing w:after="80"/>
      </w:pPr>
      <w:r>
        <w:rPr>
          <w:i/>
          <w:iCs/>
          <w:color w:val="6B7280"/>
          <w:sz w:val="19"/>
          <w:szCs w:val="19"/>
        </w:rPr>
        <w:t xml:space="preserve">Hinweis: Muster zur Orientierung, keine Rechtsberatung. Passen Sie die </w:t>
      </w:r>
      <w:r>
        <w:rPr>
          <w:b/>
          <w:bCs/>
          <w:i/>
          <w:iCs/>
          <w:color w:val="1D4ED8"/>
          <w:sz w:val="19"/>
          <w:szCs w:val="19"/>
        </w:rPr>
        <w:t xml:space="preserve">[Platzhalter]</w:t>
      </w:r>
      <w:r>
        <w:rPr>
          <w:i/>
          <w:iCs/>
          <w:color w:val="6B7280"/>
          <w:sz w:val="19"/>
          <w:szCs w:val="19"/>
        </w:rPr>
        <w:t xml:space="preserve">, Rollen und Kontakte an Ihre Organisation an und üben Sie den Plan regelmäßig.</w:t>
      </w:r>
    </w:p>
    <w:p>
      <w:pPr>
        <w:spacing w:after="80" w:before="200"/>
      </w:pPr>
      <w:r>
        <w:rPr>
          <w:b/>
          <w:bCs/>
          <w:color w:val="0F172A"/>
          <w:sz w:val="20"/>
          <w:szCs w:val="20"/>
        </w:rPr>
        <w:t xml:space="preserve">Framework-Bezug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4%"/>
            <w:shd w:fill="F1F5F9" w:color="auto" w:val="clear"/>
          </w:tcPr>
          <w:p>
            <w:r>
              <w:rPr>
                <w:b/>
                <w:bCs/>
                <w:color w:val="0F172A"/>
                <w:sz w:val="19"/>
                <w:szCs w:val="19"/>
              </w:rPr>
              <w:t xml:space="preserve">ISO/IEC 27001:2022</w:t>
            </w:r>
          </w:p>
        </w:tc>
        <w:tc>
          <w:tcPr>
            <w:tcW w:type="pct" w:w="66%"/>
          </w:tcPr>
          <w:p>
            <w:r>
              <w:rPr>
                <w:sz w:val="19"/>
                <w:szCs w:val="19"/>
              </w:rPr>
              <w:t xml:space="preserve">A.5.24 - A.5.28 (Vorfallmanagement)</w:t>
            </w:r>
          </w:p>
        </w:tc>
      </w:tr>
      <w:tr>
        <w:tc>
          <w:tcPr>
            <w:tcW w:type="pct" w:w="34%"/>
            <w:shd w:fill="F1F5F9" w:color="auto" w:val="clear"/>
          </w:tcPr>
          <w:p>
            <w:r>
              <w:rPr>
                <w:b/>
                <w:bCs/>
                <w:color w:val="0F172A"/>
                <w:sz w:val="19"/>
                <w:szCs w:val="19"/>
              </w:rPr>
              <w:t xml:space="preserve">NIS2</w:t>
            </w:r>
          </w:p>
        </w:tc>
        <w:tc>
          <w:tcPr>
            <w:tcW w:type="pct" w:w="66%"/>
          </w:tcPr>
          <w:p>
            <w:r>
              <w:rPr>
                <w:sz w:val="19"/>
                <w:szCs w:val="19"/>
              </w:rPr>
              <w:t xml:space="preserve">Art. 23 (Meldepflichten), Art. 21 Abs. 2 lit. b</w:t>
            </w:r>
          </w:p>
        </w:tc>
      </w:tr>
      <w:tr>
        <w:tc>
          <w:tcPr>
            <w:tcW w:type="pct" w:w="34%"/>
            <w:shd w:fill="F1F5F9" w:color="auto" w:val="clear"/>
          </w:tcPr>
          <w:p>
            <w:r>
              <w:rPr>
                <w:b/>
                <w:bCs/>
                <w:color w:val="0F172A"/>
                <w:sz w:val="19"/>
                <w:szCs w:val="19"/>
              </w:rPr>
              <w:t xml:space="preserve">DSGVO</w:t>
            </w:r>
          </w:p>
        </w:tc>
        <w:tc>
          <w:tcPr>
            <w:tcW w:type="pct" w:w="66%"/>
          </w:tcPr>
          <w:p>
            <w:r>
              <w:rPr>
                <w:sz w:val="19"/>
                <w:szCs w:val="19"/>
              </w:rPr>
              <w:t xml:space="preserve">Art. 33, 34 (Meldung von Datenpannen)</w:t>
            </w:r>
          </w:p>
        </w:tc>
      </w:tr>
    </w:tbl>
    <w:p>
      <w:pPr>
        <w:spacing w:after="80" w:before="200"/>
      </w:pPr>
      <w:r>
        <w:rPr>
          <w:b/>
          <w:bCs/>
          <w:color w:val="0F172A"/>
          <w:sz w:val="20"/>
          <w:szCs w:val="20"/>
        </w:rPr>
        <w:t xml:space="preserve">Dokument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4%"/>
            <w:shd w:fill="F8FAFC" w:color="auto" w:val="clear"/>
          </w:tcPr>
          <w:p>
            <w:r>
              <w:rPr>
                <w:b/>
                <w:bCs/>
                <w:color w:val="0F172A"/>
                <w:sz w:val="19"/>
                <w:szCs w:val="19"/>
              </w:rPr>
              <w:t xml:space="preserve">Organisation</w:t>
            </w:r>
          </w:p>
        </w:tc>
        <w:tc>
          <w:tcPr>
            <w:tcW w:type="pct" w:w="66%"/>
          </w:tcPr>
          <w:p>
            <w:r>
              <w:rPr>
                <w:b/>
                <w:bCs/>
                <w:i/>
                <w:iCs/>
                <w:color w:val="1D4ED8"/>
                <w:sz w:val="19"/>
                <w:szCs w:val="19"/>
              </w:rPr>
              <w:t xml:space="preserve">[Name des Unternehmens]</w:t>
            </w:r>
          </w:p>
        </w:tc>
      </w:tr>
      <w:tr>
        <w:tc>
          <w:tcPr>
            <w:tcW w:type="pct" w:w="34%"/>
            <w:shd w:fill="F8FAFC" w:color="auto" w:val="clear"/>
          </w:tcPr>
          <w:p>
            <w:r>
              <w:rPr>
                <w:b/>
                <w:bCs/>
                <w:color w:val="0F172A"/>
                <w:sz w:val="19"/>
                <w:szCs w:val="19"/>
              </w:rPr>
              <w:t xml:space="preserve">Version / Stand</w:t>
            </w:r>
          </w:p>
        </w:tc>
        <w:tc>
          <w:tcPr>
            <w:tcW w:type="pct" w:w="66%"/>
          </w:tcPr>
          <w:p>
            <w:r>
              <w:rPr>
                <w:b/>
                <w:bCs/>
                <w:i/>
                <w:iCs/>
                <w:color w:val="1D4ED8"/>
                <w:sz w:val="19"/>
                <w:szCs w:val="19"/>
              </w:rPr>
              <w:t xml:space="preserve">[1.0 / Datum]</w:t>
            </w:r>
          </w:p>
        </w:tc>
      </w:tr>
      <w:tr>
        <w:tc>
          <w:tcPr>
            <w:tcW w:type="pct" w:w="34%"/>
            <w:shd w:fill="F8FAFC" w:color="auto" w:val="clear"/>
          </w:tcPr>
          <w:p>
            <w:r>
              <w:rPr>
                <w:b/>
                <w:bCs/>
                <w:color w:val="0F172A"/>
                <w:sz w:val="19"/>
                <w:szCs w:val="19"/>
              </w:rPr>
              <w:t xml:space="preserve">Verantwortlich</w:t>
            </w:r>
          </w:p>
        </w:tc>
        <w:tc>
          <w:tcPr>
            <w:tcW w:type="pct" w:w="66%"/>
          </w:tcPr>
          <w:p>
            <w:r>
              <w:rPr>
                <w:b/>
                <w:bCs/>
                <w:i/>
                <w:iCs/>
                <w:color w:val="1D4ED8"/>
                <w:sz w:val="19"/>
                <w:szCs w:val="19"/>
              </w:rPr>
              <w:t xml:space="preserve">[ISB / IT-Leitung]</w:t>
            </w:r>
          </w:p>
        </w:tc>
      </w:tr>
    </w:tbl>
    <w:p>
      <w:pPr>
        <w:pStyle w:val="Heading2"/>
        <w:spacing w:after="100" w:before="260"/>
      </w:pPr>
      <w:r>
        <w:rPr>
          <w:b/>
          <w:bCs/>
          <w:color w:val="0F172A"/>
          <w:sz w:val="24"/>
          <w:szCs w:val="24"/>
        </w:rPr>
        <w:t xml:space="preserve">1. Zweck und Geltungsbereich</w:t>
      </w:r>
    </w:p>
    <w:p>
      <w:pPr>
        <w:spacing w:after="100"/>
      </w:pPr>
      <w:r>
        <w:rPr>
          <w:sz w:val="21"/>
          <w:szCs w:val="21"/>
        </w:rPr>
        <w:t xml:space="preserve">Dieser Plan regelt das Erkennen, Melden, Bewerten, Eindämmen, Beheben und Nachbereiten von Informationssicherheitsvorfällen. Er gilt für alle Beschäftigten, Systeme und Standorte.</w:t>
      </w:r>
    </w:p>
    <w:p>
      <w:pPr>
        <w:pStyle w:val="Heading2"/>
        <w:spacing w:after="100" w:before="260"/>
      </w:pPr>
      <w:r>
        <w:rPr>
          <w:b/>
          <w:bCs/>
          <w:color w:val="0F172A"/>
          <w:sz w:val="24"/>
          <w:szCs w:val="24"/>
        </w:rPr>
        <w:t xml:space="preserve">2. Rollen im Incident-Team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Meldestelle / Erstkontakt: </w:t>
      </w:r>
      <w:r>
        <w:rPr>
          <w:b/>
          <w:bCs/>
          <w:i/>
          <w:iCs/>
          <w:color w:val="1D4ED8"/>
          <w:sz w:val="21"/>
          <w:szCs w:val="21"/>
        </w:rPr>
        <w:t xml:space="preserve">[Kontakt, E-Mail, Telefon]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Incident-Verantwortliche/r (Leitung): </w:t>
      </w:r>
      <w:r>
        <w:rPr>
          <w:b/>
          <w:bCs/>
          <w:i/>
          <w:iCs/>
          <w:color w:val="1D4ED8"/>
          <w:sz w:val="21"/>
          <w:szCs w:val="21"/>
        </w:rPr>
        <w:t xml:space="preserve">[Name]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IT / technische Analyse: </w:t>
      </w:r>
      <w:r>
        <w:rPr>
          <w:b/>
          <w:bCs/>
          <w:i/>
          <w:iCs/>
          <w:color w:val="1D4ED8"/>
          <w:sz w:val="21"/>
          <w:szCs w:val="21"/>
        </w:rPr>
        <w:t xml:space="preserve">[Name]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Datenschutz: </w:t>
      </w:r>
      <w:r>
        <w:rPr>
          <w:b/>
          <w:bCs/>
          <w:i/>
          <w:iCs/>
          <w:color w:val="1D4ED8"/>
          <w:sz w:val="21"/>
          <w:szCs w:val="21"/>
        </w:rPr>
        <w:t xml:space="preserve">[Name]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Kommunikation / Geschäftsführung: </w:t>
      </w:r>
      <w:r>
        <w:rPr>
          <w:b/>
          <w:bCs/>
          <w:i/>
          <w:iCs/>
          <w:color w:val="1D4ED8"/>
          <w:sz w:val="21"/>
          <w:szCs w:val="21"/>
        </w:rPr>
        <w:t xml:space="preserve">[Name]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Externe Unterstützung (Forensik, Dienstleister): </w:t>
      </w:r>
      <w:r>
        <w:rPr>
          <w:b/>
          <w:bCs/>
          <w:i/>
          <w:iCs/>
          <w:color w:val="1D4ED8"/>
          <w:sz w:val="21"/>
          <w:szCs w:val="21"/>
        </w:rPr>
        <w:t xml:space="preserve">[Kontakt]</w:t>
      </w:r>
    </w:p>
    <w:p>
      <w:pPr>
        <w:pStyle w:val="Heading2"/>
        <w:spacing w:after="100" w:before="260"/>
      </w:pPr>
      <w:r>
        <w:rPr>
          <w:b/>
          <w:bCs/>
          <w:color w:val="0F172A"/>
          <w:sz w:val="24"/>
          <w:szCs w:val="24"/>
        </w:rPr>
        <w:t xml:space="preserve">3. Klassifizierung (Schweregrade)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Niedrig:  Geringe Auswirkung, kein Datenabfluss, lokal begrenzt.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Mittel:   Spürbare Beeinträchtigung, Eingrenzung erforderlich.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Hoch:     Erhebliche Beeinträchtigung, mögliche Meldepflicht.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Kritisch: Schwere Störung, Datenabfluss, Meldepflicht wahrscheinlich.</w:t>
      </w:r>
    </w:p>
    <w:p>
      <w:pPr>
        <w:pStyle w:val="Heading2"/>
        <w:spacing w:after="100" w:before="260"/>
      </w:pPr>
      <w:r>
        <w:rPr>
          <w:b/>
          <w:bCs/>
          <w:color w:val="0F172A"/>
          <w:sz w:val="24"/>
          <w:szCs w:val="24"/>
        </w:rPr>
        <w:t xml:space="preserve">4. Ablauf der Vorfallbehandlung</w:t>
      </w:r>
    </w:p>
    <w:p>
      <w:pPr>
        <w:spacing w:after="60" w:before="140"/>
      </w:pPr>
      <w:r>
        <w:rPr>
          <w:b/>
          <w:bCs/>
          <w:color w:val="0F172A"/>
          <w:sz w:val="21"/>
          <w:szCs w:val="21"/>
        </w:rPr>
        <w:t xml:space="preserve">Schritt 1 - Erkennen und Melden</w:t>
      </w:r>
    </w:p>
    <w:p>
      <w:pPr>
        <w:spacing w:after="100"/>
      </w:pPr>
      <w:r>
        <w:rPr>
          <w:sz w:val="21"/>
          <w:szCs w:val="21"/>
        </w:rPr>
        <w:t xml:space="preserve">Jede Person meldet ein Sicherheitsereignis unverzüglich an die Meldestelle. Erste Informationen werden dokumentiert (was, wann, wo).</w:t>
      </w:r>
    </w:p>
    <w:p>
      <w:pPr>
        <w:spacing w:after="60" w:before="140"/>
      </w:pPr>
      <w:r>
        <w:rPr>
          <w:b/>
          <w:bCs/>
          <w:color w:val="0F172A"/>
          <w:sz w:val="21"/>
          <w:szCs w:val="21"/>
        </w:rPr>
        <w:t xml:space="preserve">Schritt 2 - Bewerten und Klassifizieren</w:t>
      </w:r>
    </w:p>
    <w:p>
      <w:pPr>
        <w:spacing w:after="100"/>
      </w:pPr>
      <w:r>
        <w:rPr>
          <w:sz w:val="21"/>
          <w:szCs w:val="21"/>
        </w:rPr>
        <w:t xml:space="preserve">Das Incident-Team bewertet das Ereignis und stuft es als Vorfall ein (Schweregrad). Entscheidung über Eskalation und Meldepflichten.</w:t>
      </w:r>
    </w:p>
    <w:p>
      <w:pPr>
        <w:spacing w:after="60" w:before="140"/>
      </w:pPr>
      <w:r>
        <w:rPr>
          <w:b/>
          <w:bCs/>
          <w:color w:val="0F172A"/>
          <w:sz w:val="21"/>
          <w:szCs w:val="21"/>
        </w:rPr>
        <w:t xml:space="preserve">Schritt 3 - Eindämmen</w:t>
      </w:r>
    </w:p>
    <w:p>
      <w:pPr>
        <w:spacing w:after="100"/>
      </w:pPr>
      <w:r>
        <w:rPr>
          <w:sz w:val="21"/>
          <w:szCs w:val="21"/>
        </w:rPr>
        <w:t xml:space="preserve">Sofortmaßnahmen zur Begrenzung (z.B. Systeme isolieren, Konten sperren). Wichtig: Beweise sichern, bevor bereinigt wird.</w:t>
      </w:r>
    </w:p>
    <w:p>
      <w:pPr>
        <w:spacing w:after="60" w:before="140"/>
      </w:pPr>
      <w:r>
        <w:rPr>
          <w:b/>
          <w:bCs/>
          <w:color w:val="0F172A"/>
          <w:sz w:val="21"/>
          <w:szCs w:val="21"/>
        </w:rPr>
        <w:t xml:space="preserve">Schritt 4 - Beheben</w:t>
      </w:r>
    </w:p>
    <w:p>
      <w:pPr>
        <w:spacing w:after="100"/>
      </w:pPr>
      <w:r>
        <w:rPr>
          <w:sz w:val="21"/>
          <w:szCs w:val="21"/>
        </w:rPr>
        <w:t xml:space="preserve">Ursache beseitigen, Schadsoftware entfernen, Schwachstellen schließen.</w:t>
      </w:r>
    </w:p>
    <w:p>
      <w:pPr>
        <w:spacing w:after="60" w:before="140"/>
      </w:pPr>
      <w:r>
        <w:rPr>
          <w:b/>
          <w:bCs/>
          <w:color w:val="0F172A"/>
          <w:sz w:val="21"/>
          <w:szCs w:val="21"/>
        </w:rPr>
        <w:t xml:space="preserve">Schritt 5 - Wiederherstellen</w:t>
      </w:r>
    </w:p>
    <w:p>
      <w:pPr>
        <w:spacing w:after="100"/>
      </w:pPr>
      <w:r>
        <w:rPr>
          <w:sz w:val="21"/>
          <w:szCs w:val="21"/>
        </w:rPr>
        <w:t xml:space="preserve">Geordnete Wiederinbetriebnahme, Überwachung auf erneutes Auftreten.</w:t>
      </w:r>
    </w:p>
    <w:p>
      <w:pPr>
        <w:spacing w:after="60" w:before="140"/>
      </w:pPr>
      <w:r>
        <w:rPr>
          <w:b/>
          <w:bCs/>
          <w:color w:val="0F172A"/>
          <w:sz w:val="21"/>
          <w:szCs w:val="21"/>
        </w:rPr>
        <w:t xml:space="preserve">Schritt 6 - Nachbereiten (Lessons Learned)</w:t>
      </w:r>
    </w:p>
    <w:p>
      <w:pPr>
        <w:spacing w:after="100"/>
      </w:pPr>
      <w:r>
        <w:rPr>
          <w:sz w:val="21"/>
          <w:szCs w:val="21"/>
        </w:rPr>
        <w:t xml:space="preserve">Ursachenanalyse, abgeleitete Maßnahmen, Aktualisierung von Risiken und diesem Plan.</w:t>
      </w:r>
    </w:p>
    <w:p>
      <w:pPr>
        <w:pStyle w:val="Heading2"/>
        <w:spacing w:after="100" w:before="260"/>
      </w:pPr>
      <w:r>
        <w:rPr>
          <w:b/>
          <w:bCs/>
          <w:color w:val="0F172A"/>
          <w:sz w:val="24"/>
          <w:szCs w:val="24"/>
        </w:rPr>
        <w:t xml:space="preserve">5. Meldefristen (WICHTIG)</w:t>
      </w:r>
    </w:p>
    <w:p>
      <w:pPr>
        <w:spacing w:after="100"/>
      </w:pPr>
      <w:r>
        <w:rPr>
          <w:sz w:val="21"/>
          <w:szCs w:val="21"/>
        </w:rPr>
        <w:t xml:space="preserve">NIS2 (an das BSI, sofern betroffen):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Frühwarnung:        binnen 24 Stunden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Vollständige Meldung: binnen 72 Stunden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Abschlussbericht:   binnen 1 Monat</w:t>
      </w:r>
    </w:p>
    <w:p>
      <w:pPr>
        <w:spacing w:after="100"/>
      </w:pPr>
      <w:r>
        <w:rPr>
          <w:sz w:val="21"/>
          <w:szCs w:val="21"/>
        </w:rPr>
        <w:t xml:space="preserve">DSGVO (bei Verletzung des Schutzes personenbezogener Daten):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Meldung an Aufsichtsbehörde: binnen 72 Stunden (Art. 33)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Benachrichtigung Betroffener bei hohem Risiko (Art. 34)</w:t>
      </w:r>
    </w:p>
    <w:p>
      <w:pPr>
        <w:spacing w:after="100"/>
      </w:pPr>
      <w:r>
        <w:rPr>
          <w:sz w:val="21"/>
          <w:szCs w:val="21"/>
        </w:rPr>
        <w:t xml:space="preserve">Prüfen Sie bei jedem Vorfall, welche Meldepflichten greifen, ggf. beide.</w:t>
      </w:r>
    </w:p>
    <w:p>
      <w:pPr>
        <w:pStyle w:val="Heading2"/>
        <w:spacing w:after="100" w:before="260"/>
      </w:pPr>
      <w:r>
        <w:rPr>
          <w:b/>
          <w:bCs/>
          <w:color w:val="0F172A"/>
          <w:sz w:val="24"/>
          <w:szCs w:val="24"/>
        </w:rPr>
        <w:t xml:space="preserve">6. Kontakte und Meldewege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Interne Meldestelle:        </w:t>
      </w:r>
      <w:r>
        <w:rPr>
          <w:b/>
          <w:bCs/>
          <w:i/>
          <w:iCs/>
          <w:color w:val="1D4ED8"/>
          <w:sz w:val="21"/>
          <w:szCs w:val="21"/>
        </w:rPr>
        <w:t xml:space="preserve">[...]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Zuständige NIS2-Stelle/BSI: </w:t>
      </w:r>
      <w:r>
        <w:rPr>
          <w:b/>
          <w:bCs/>
          <w:i/>
          <w:iCs/>
          <w:color w:val="1D4ED8"/>
          <w:sz w:val="21"/>
          <w:szCs w:val="21"/>
        </w:rPr>
        <w:t xml:space="preserve">[...]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Datenschutzaufsichtsbehörde: </w:t>
      </w:r>
      <w:r>
        <w:rPr>
          <w:b/>
          <w:bCs/>
          <w:i/>
          <w:iCs/>
          <w:color w:val="1D4ED8"/>
          <w:sz w:val="21"/>
          <w:szCs w:val="21"/>
        </w:rPr>
        <w:t xml:space="preserve">[...]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IT-Dienstleister / Forensik: </w:t>
      </w:r>
      <w:r>
        <w:rPr>
          <w:b/>
          <w:bCs/>
          <w:i/>
          <w:iCs/>
          <w:color w:val="1D4ED8"/>
          <w:sz w:val="21"/>
          <w:szCs w:val="21"/>
        </w:rPr>
        <w:t xml:space="preserve">[...]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1"/>
          <w:szCs w:val="21"/>
        </w:rPr>
        <w:t xml:space="preserve">Cyberversicherung:          </w:t>
      </w:r>
      <w:r>
        <w:rPr>
          <w:b/>
          <w:bCs/>
          <w:i/>
          <w:iCs/>
          <w:color w:val="1D4ED8"/>
          <w:sz w:val="21"/>
          <w:szCs w:val="21"/>
        </w:rPr>
        <w:t xml:space="preserve">[...]</w:t>
      </w:r>
    </w:p>
    <w:p>
      <w:pPr>
        <w:pStyle w:val="Heading2"/>
        <w:spacing w:after="100" w:before="260"/>
      </w:pPr>
      <w:r>
        <w:rPr>
          <w:b/>
          <w:bCs/>
          <w:color w:val="0F172A"/>
          <w:sz w:val="24"/>
          <w:szCs w:val="24"/>
        </w:rPr>
        <w:t xml:space="preserve">7. Dokumentation</w:t>
      </w:r>
    </w:p>
    <w:p>
      <w:pPr>
        <w:spacing w:after="100"/>
      </w:pPr>
      <w:r>
        <w:rPr>
          <w:sz w:val="21"/>
          <w:szCs w:val="21"/>
        </w:rPr>
        <w:t xml:space="preserve">Jeder Vorfall wird mit Zeitleiste, Maßnahmen, Entscheidungen und Meldungen dokumentiert. Vorlage je Vorfall: Vorfall-ID | Erkannt am | Schweregrad | Beschreibung | Maßnahmen | Meldung (ja/nein, wann) | Status | Abschluss</w:t>
      </w:r>
    </w:p>
    <w:sectPr>
      <w:footerReference w:type="default" r:id="rId7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5E7EB" w:sz="4" w:space="6"/>
      </w:pBdr>
      <w:spacing w:before="60"/>
    </w:pPr>
    <w:r>
      <w:rPr>
        <w:color w:val="6B7280"/>
        <w:sz w:val="15"/>
        <w:szCs w:val="15"/>
      </w:rPr>
      <w:t xml:space="preserve">Gekürzte Muster-Fassung von CompliantDesk (Corelead GmbH). Die Vollversion - mit Versionierung, SHA-256-Nachweis der freigegebenen Fassung und dokumentierter Mitarbeiter-Bestätigung - führen Sie in der CompliantDesk-Plattform: compliantdesk.de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INCIDENT-RESPONSE-PLAN (PLAN ZUR VORFALLBEHANDLUNG)</dc:title>
  <dc:creator>CompliantDesk (Corelead GmbH)</dc:creator>
  <cp:lastModifiedBy>Un-named</cp:lastModifiedBy>
  <cp:revision>1</cp:revision>
  <dcterms:created xsi:type="dcterms:W3CDTF">2026-07-14T16:54:38.806Z</dcterms:created>
  <dcterms:modified xsi:type="dcterms:W3CDTF">2026-07-14T16:54:38.806Z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