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RICHTLINIE ZUR DATENKLASSIFIZIERUNG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A.5.12 (Klassifizierung von Informationen),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A.5.13 (Kennzeichnung von Informationen)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(Schutzbedarfsorientierte Maßnahmen)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(dem Risiko angemessenes Schutzniveau)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legt fest, wie Informationen bei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nach ihrem Schutzbedarf eingestuft, gekennzeichnet und behandelt werden. Die Klassifizierung ist Grundlage für alle schutzbedarfsabhängigen Maßnahmen. Sie gilt für alle Informationen unabhängig vom Medium.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Klassifizierungsstufen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Öffentlich:          Freigegeben zur Veröffentlichung.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Intern:              Nur für den internen Gebrauch bestimmt.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Vertraulich:         Zugriff nur für berechtigte Personen.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Streng vertraulich:  Höchster Schutzbedarf, sehr enger Kreis.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[Stufen an Ihre Organisation anpassen]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Jede Information hat einen Eigentümer (Owner), der die Einstufung festlegt und überprüft.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Beschäftigte behandeln Informationen entsprechend ihrer Einstufung.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[Rollen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Kennzeichnung</w:t>
      </w:r>
    </w:p>
    <w:p>
      <w:pPr>
        <w:spacing w:after="100"/>
      </w:pPr>
      <w:r>
        <w:rPr>
          <w:sz w:val="21"/>
          <w:szCs w:val="21"/>
        </w:rPr>
        <w:t xml:space="preserve">Informationen werden entsprechend ihrer Stufe gekennzeichnet (z.B. in Dokumenten, Dateinamen, E-Mail-Betreff). Fehlt eine Kennzeichnung, gilt die Standardstufe </w:t>
      </w:r>
      <w:r>
        <w:rPr>
          <w:b/>
          <w:bCs/>
          <w:i/>
          <w:iCs/>
          <w:color w:val="1D4ED8"/>
          <w:sz w:val="21"/>
          <w:szCs w:val="21"/>
        </w:rPr>
        <w:t xml:space="preserve">[Intern]</w:t>
      </w:r>
      <w:r>
        <w:rPr>
          <w:sz w:val="21"/>
          <w:szCs w:val="21"/>
        </w:rPr>
        <w:t xml:space="preserve">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Handhabungsregeln je Stufe</w:t>
      </w:r>
    </w:p>
    <w:p>
      <w:pPr>
        <w:spacing w:after="100"/>
      </w:pPr>
      <w:r>
        <w:rPr>
          <w:sz w:val="21"/>
          <w:szCs w:val="21"/>
        </w:rPr>
        <w:t xml:space="preserve">Je Stufe werden Vorgaben zu Speicherung, Übertragung, Weitergabe, Druck und Vernichtung festgelegt. Beispiel: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Vertraulich: verschlüsselte Ablage und Übertragung, Zugriff nach Need-to-know, sichere Vernichtung.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[Handhabungsmatrix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Überprüfung</w:t>
      </w:r>
    </w:p>
    <w:p>
      <w:pPr>
        <w:spacing w:after="100"/>
      </w:pPr>
      <w:r>
        <w:rPr>
          <w:sz w:val="21"/>
          <w:szCs w:val="21"/>
        </w:rPr>
        <w:t xml:space="preserve">Die Einstufung wird bei wesentlichen Änderungen und regelmäßig überprüft. Diese Richtlinie wird mindestens jährlich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 ZUR DATENKLASSIFIZIERUNG</dc:title>
  <dc:creator>CompliantDesk (Corelead GmbH)</dc:creator>
  <cp:lastModifiedBy>Un-named</cp:lastModifiedBy>
  <cp:revision>1</cp:revision>
  <dcterms:created xsi:type="dcterms:W3CDTF">2026-07-14T16:54:38.784Z</dcterms:created>
  <dcterms:modified xsi:type="dcterms:W3CDTF">2026-07-14T16:54:38.784Z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